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1D465E" w:rsidRDefault="001D465E" w:rsidP="001D465E">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1D465E" w:rsidRDefault="001D465E" w:rsidP="001D465E">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1D465E" w:rsidRDefault="001D465E" w:rsidP="001D465E">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1D465E" w:rsidRDefault="001D465E" w:rsidP="001D465E">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D1A5D">
        <w:rPr>
          <w:rFonts w:ascii="Times New Roman" w:eastAsia="Times New Roman" w:hAnsi="Times New Roman" w:cs="Times New Roman"/>
          <w:b/>
          <w:bCs/>
          <w:smallCaps/>
          <w:sz w:val="24"/>
          <w:szCs w:val="24"/>
          <w:lang w:eastAsia="ru-RU"/>
        </w:rPr>
        <w:t>Физическая культура и спорт</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6D0418" w:rsidRDefault="006D0418" w:rsidP="006D0418">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подготовки </w:t>
      </w:r>
      <w:r>
        <w:rPr>
          <w:rFonts w:ascii="Times New Roman" w:eastAsia="Calibri" w:hAnsi="Times New Roman" w:cs="Times New Roman"/>
          <w:bCs/>
          <w:sz w:val="24"/>
          <w:szCs w:val="24"/>
        </w:rPr>
        <w:t>51.03.02 Народная художественная культура</w:t>
      </w:r>
    </w:p>
    <w:p w:rsidR="006D0418" w:rsidRDefault="006D0418" w:rsidP="006D0418">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6D0418" w:rsidRDefault="006D0418" w:rsidP="006D0418">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Pr="0051394F">
        <w:rPr>
          <w:rFonts w:ascii="Times New Roman" w:hAnsi="Times New Roman" w:cs="Times New Roman"/>
          <w:sz w:val="24"/>
          <w:szCs w:val="24"/>
        </w:rPr>
        <w:t>Руководство</w:t>
      </w:r>
      <w:r>
        <w:rPr>
          <w:rFonts w:ascii="Times New Roman" w:hAnsi="Times New Roman" w:cs="Times New Roman"/>
          <w:sz w:val="24"/>
          <w:szCs w:val="24"/>
        </w:rPr>
        <w:t xml:space="preserve"> любительским театром</w:t>
      </w:r>
    </w:p>
    <w:p w:rsidR="006D0418" w:rsidRDefault="006D0418" w:rsidP="006D0418">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6D0418" w:rsidRDefault="006D0418" w:rsidP="006D0418">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Квалификация выпускника </w:t>
      </w:r>
      <w:r>
        <w:rPr>
          <w:rFonts w:ascii="Times New Roman" w:eastAsia="Times New Roman" w:hAnsi="Times New Roman" w:cs="Times New Roman"/>
          <w:bCs/>
          <w:sz w:val="24"/>
          <w:szCs w:val="24"/>
          <w:lang w:eastAsia="ru-RU"/>
        </w:rPr>
        <w:t>бакалавр</w:t>
      </w:r>
    </w:p>
    <w:p w:rsidR="006D0418" w:rsidRPr="004F01F5" w:rsidRDefault="006D0418" w:rsidP="006D0418">
      <w:pPr>
        <w:tabs>
          <w:tab w:val="right" w:leader="underscore" w:pos="8505"/>
        </w:tabs>
        <w:spacing w:after="0" w:line="240" w:lineRule="auto"/>
        <w:rPr>
          <w:rFonts w:ascii="Times New Roman" w:eastAsia="Times New Roman" w:hAnsi="Times New Roman" w:cs="Times New Roman"/>
          <w:bCs/>
          <w:sz w:val="24"/>
          <w:szCs w:val="24"/>
          <w:lang w:eastAsia="ru-RU"/>
        </w:rPr>
      </w:pPr>
    </w:p>
    <w:p w:rsidR="006D0418" w:rsidRDefault="006D0418" w:rsidP="006D0418">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Форма обучения </w:t>
      </w:r>
      <w:r w:rsidRPr="004F01F5">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D0418" w:rsidRDefault="006D0418" w:rsidP="006D0418">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rsidR="006D0418" w:rsidRPr="007C5F0F" w:rsidRDefault="006D0418" w:rsidP="006D0418">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rsidR="006D0418" w:rsidRPr="007C5F0F" w:rsidRDefault="006D0418" w:rsidP="006D0418">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обучающихся средствами физической культуры,</w:t>
      </w:r>
    </w:p>
    <w:p w:rsidR="006D0418" w:rsidRPr="007C5F0F" w:rsidRDefault="006D0418" w:rsidP="006D0418">
      <w:pPr>
        <w:spacing w:after="0" w:line="240" w:lineRule="auto"/>
        <w:ind w:firstLine="556"/>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обучающихся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rsidR="006D0418" w:rsidRDefault="006D0418" w:rsidP="006D0418">
      <w:pPr>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обучающимися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rsidR="006D0418" w:rsidRPr="00974F5C" w:rsidRDefault="006D0418" w:rsidP="006D0418">
      <w:pPr>
        <w:spacing w:after="0" w:line="240" w:lineRule="auto"/>
        <w:ind w:firstLine="556"/>
        <w:rPr>
          <w:sz w:val="24"/>
          <w:szCs w:val="24"/>
        </w:rPr>
      </w:pPr>
      <w:r>
        <w:rPr>
          <w:rFonts w:ascii="Times New Roman" w:hAnsi="Times New Roman" w:cs="Times New Roman"/>
          <w:sz w:val="24"/>
          <w:szCs w:val="24"/>
          <w:u w:val="single"/>
        </w:rPr>
        <w:t xml:space="preserve">Задачи: </w:t>
      </w:r>
    </w:p>
    <w:p w:rsidR="006D0418" w:rsidRPr="00267860" w:rsidRDefault="006D0418" w:rsidP="006D0418">
      <w:pPr>
        <w:pStyle w:val="18"/>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rsidR="006D0418" w:rsidRPr="00267860" w:rsidRDefault="006D0418" w:rsidP="006D0418">
      <w:pPr>
        <w:pStyle w:val="18"/>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rsidR="006D0418" w:rsidRPr="00267860" w:rsidRDefault="006D0418" w:rsidP="006D0418">
      <w:pPr>
        <w:pStyle w:val="18"/>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rsidR="006D0418" w:rsidRDefault="006D0418" w:rsidP="006D0418">
      <w:pPr>
        <w:pStyle w:val="18"/>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D0418" w:rsidRDefault="00501456" w:rsidP="006D0418">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6D0418">
        <w:rPr>
          <w:rFonts w:ascii="Times New Roman" w:eastAsia="Calibri" w:hAnsi="Times New Roman" w:cs="Times New Roman"/>
          <w:bCs/>
          <w:sz w:val="24"/>
          <w:szCs w:val="24"/>
        </w:rPr>
        <w:t>51.03.02 Народная художественная культура; п</w:t>
      </w:r>
      <w:r w:rsidR="006D0418">
        <w:rPr>
          <w:rFonts w:ascii="Times New Roman" w:eastAsia="Times New Roman" w:hAnsi="Times New Roman" w:cs="Times New Roman"/>
          <w:b/>
          <w:bCs/>
          <w:sz w:val="24"/>
          <w:szCs w:val="24"/>
          <w:lang w:eastAsia="ru-RU"/>
        </w:rPr>
        <w:t xml:space="preserve">рофиль подготовки </w:t>
      </w:r>
      <w:r w:rsidR="006D0418" w:rsidRPr="0051394F">
        <w:rPr>
          <w:rFonts w:ascii="Times New Roman" w:hAnsi="Times New Roman" w:cs="Times New Roman"/>
          <w:sz w:val="24"/>
          <w:szCs w:val="24"/>
        </w:rPr>
        <w:t>Руководство</w:t>
      </w:r>
      <w:r w:rsidR="006D0418">
        <w:rPr>
          <w:rFonts w:ascii="Times New Roman" w:hAnsi="Times New Roman" w:cs="Times New Roman"/>
          <w:sz w:val="24"/>
          <w:szCs w:val="24"/>
        </w:rPr>
        <w:t xml:space="preserve"> любительским театром.</w:t>
      </w:r>
    </w:p>
    <w:p w:rsidR="0067525A" w:rsidRPr="0067525A" w:rsidRDefault="00ED2225"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1456">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sidR="00501456">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55355">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w:t>
      </w:r>
      <w:r w:rsidR="006D0418">
        <w:rPr>
          <w:rFonts w:ascii="Times New Roman" w:eastAsia="Times New Roman" w:hAnsi="Times New Roman" w:cs="Times New Roman"/>
          <w:sz w:val="24"/>
          <w:szCs w:val="24"/>
          <w:lang w:eastAsia="ru-RU"/>
        </w:rPr>
        <w:t xml:space="preserve">2 </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D0418">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9759D3">
        <w:rPr>
          <w:rFonts w:ascii="Times New Roman" w:eastAsia="Times New Roman" w:hAnsi="Times New Roman" w:cs="Times New Roman"/>
          <w:sz w:val="24"/>
          <w:szCs w:val="24"/>
          <w:lang w:eastAsia="ru-RU"/>
        </w:rPr>
        <w:t>заочной</w:t>
      </w:r>
      <w:r>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sidR="00501456">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655355">
        <w:rPr>
          <w:rFonts w:ascii="Times New Roman" w:eastAsia="Times New Roman" w:hAnsi="Times New Roman" w:cs="Times New Roman"/>
          <w:sz w:val="24"/>
          <w:szCs w:val="24"/>
          <w:lang w:eastAsia="ru-RU"/>
        </w:rPr>
        <w:t>общеобразовательной 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55355">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 «Сценическое движение»</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w:t>
      </w:r>
      <w:r w:rsidR="00BA43D4" w:rsidRPr="00BA43D4">
        <w:rPr>
          <w:rFonts w:ascii="Times New Roman" w:eastAsia="Times New Roman" w:hAnsi="Times New Roman" w:cs="Times New Roman"/>
          <w:sz w:val="24"/>
          <w:szCs w:val="24"/>
          <w:lang w:eastAsia="ru-RU"/>
        </w:rPr>
        <w:t>Направление подготовки 51.03.02 Народная художественная культура; профиль подготовки руководство любительским театром.</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655355" w:rsidTr="00F769B1">
        <w:trPr>
          <w:trHeight w:val="576"/>
        </w:trPr>
        <w:tc>
          <w:tcPr>
            <w:tcW w:w="2234" w:type="dxa"/>
            <w:tcBorders>
              <w:top w:val="single" w:sz="4" w:space="0" w:color="000000"/>
              <w:left w:val="single" w:sz="4" w:space="0" w:color="000000"/>
              <w:bottom w:val="single" w:sz="4" w:space="0" w:color="000000"/>
            </w:tcBorders>
          </w:tcPr>
          <w:p w:rsidR="006D0418" w:rsidRPr="006D0418" w:rsidRDefault="00655355" w:rsidP="006D0418">
            <w:pPr>
              <w:tabs>
                <w:tab w:val="left" w:pos="284"/>
                <w:tab w:val="left" w:pos="851"/>
              </w:tabs>
              <w:autoSpaceDE w:val="0"/>
              <w:autoSpaceDN w:val="0"/>
              <w:adjustRightInd w:val="0"/>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УК7. </w:t>
            </w:r>
            <w:r w:rsidR="006D0418" w:rsidRPr="006D0418">
              <w:rPr>
                <w:rFonts w:ascii="Times New Roman" w:eastAsia="Times New Roman" w:hAnsi="Times New Roman" w:cs="Times New Roman"/>
                <w:sz w:val="20"/>
                <w:szCs w:val="20"/>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6D0418" w:rsidRPr="006D0418" w:rsidRDefault="006D0418" w:rsidP="006D0418">
            <w:pPr>
              <w:tabs>
                <w:tab w:val="left" w:pos="284"/>
                <w:tab w:val="left" w:pos="851"/>
              </w:tabs>
              <w:autoSpaceDE w:val="0"/>
              <w:autoSpaceDN w:val="0"/>
              <w:adjustRightInd w:val="0"/>
              <w:spacing w:after="0" w:line="240" w:lineRule="auto"/>
              <w:rPr>
                <w:rFonts w:ascii="Times New Roman" w:eastAsia="Times New Roman" w:hAnsi="Times New Roman" w:cs="Times New Roman"/>
                <w:sz w:val="20"/>
                <w:szCs w:val="20"/>
                <w:lang w:eastAsia="ru-RU"/>
              </w:rPr>
            </w:pPr>
          </w:p>
          <w:p w:rsidR="00655355" w:rsidRPr="00655355" w:rsidRDefault="00655355" w:rsidP="00655355">
            <w:pPr>
              <w:autoSpaceDE w:val="0"/>
              <w:rPr>
                <w:rFonts w:ascii="Times New Roman" w:eastAsia="Times New Roman" w:hAnsi="Times New Roman" w:cs="Times New Roman"/>
                <w:lang w:eastAsia="zh-CN"/>
              </w:rPr>
            </w:pPr>
          </w:p>
          <w:p w:rsidR="00655355" w:rsidRPr="00655355" w:rsidRDefault="00655355" w:rsidP="00655355">
            <w:pPr>
              <w:autoSpaceDE w:val="0"/>
              <w:spacing w:after="0" w:line="240" w:lineRule="auto"/>
              <w:rPr>
                <w:rFonts w:ascii="Times New Roman" w:eastAsia="Times New Roman" w:hAnsi="Times New Roman" w:cs="Times New Roman"/>
                <w:lang w:eastAsia="zh-CN"/>
              </w:rPr>
            </w:pPr>
          </w:p>
          <w:p w:rsidR="00655355" w:rsidRPr="00623C33" w:rsidRDefault="00655355" w:rsidP="00655355">
            <w:pPr>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655355" w:rsidRPr="00655355" w:rsidRDefault="00655355" w:rsidP="00655355">
            <w:pPr>
              <w:pStyle w:val="TableParagraph"/>
            </w:pPr>
            <w:r w:rsidRPr="00655355">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655355" w:rsidRPr="00655355" w:rsidRDefault="00655355" w:rsidP="00655355">
            <w:pPr>
              <w:pStyle w:val="TableParagraph"/>
              <w:jc w:val="both"/>
            </w:pPr>
          </w:p>
          <w:p w:rsidR="00655355" w:rsidRPr="00655355" w:rsidRDefault="00655355" w:rsidP="00655355">
            <w:pPr>
              <w:pStyle w:val="TableParagraph"/>
              <w:jc w:val="both"/>
            </w:pPr>
            <w:r w:rsidRPr="00655355">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655355" w:rsidRPr="00655355" w:rsidRDefault="00655355" w:rsidP="00655355">
            <w:pPr>
              <w:pStyle w:val="TableParagraph"/>
              <w:jc w:val="both"/>
            </w:pPr>
          </w:p>
          <w:p w:rsidR="00655355" w:rsidRPr="00655355" w:rsidRDefault="00655355" w:rsidP="00655355">
            <w:pPr>
              <w:pStyle w:val="TableParagraph"/>
              <w:jc w:val="both"/>
              <w:rPr>
                <w:b/>
              </w:rPr>
            </w:pPr>
            <w:r w:rsidRPr="00655355">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Знать: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rPr>
              <w:t>принципы здоровьесбережения;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роль физической культуры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спорта в развитии личности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готовности к профессиональной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способы контроля и оценки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физического развития и физической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подготовленности;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Уметь: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поддерживать должный уровень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физической подготовленности для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обеспечения полноценной социальной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профессиональной 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Владеть: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навыками физического</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самосовершенствования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самовоспитания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xml:space="preserve">, </w:t>
      </w:r>
      <w:r w:rsidR="00330183" w:rsidRPr="0046399B">
        <w:rPr>
          <w:rFonts w:ascii="Times New Roman" w:hAnsi="Times New Roman" w:cs="Times New Roman"/>
          <w:sz w:val="24"/>
          <w:szCs w:val="24"/>
        </w:rPr>
        <w:t xml:space="preserve">контактных </w:t>
      </w:r>
      <w:r w:rsidR="003F5BC7">
        <w:rPr>
          <w:rFonts w:ascii="Times New Roman" w:hAnsi="Times New Roman" w:cs="Times New Roman"/>
          <w:sz w:val="24"/>
          <w:szCs w:val="24"/>
        </w:rPr>
        <w:t>14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55355">
        <w:rPr>
          <w:rFonts w:ascii="Times New Roman" w:hAnsi="Times New Roman" w:cs="Times New Roman"/>
          <w:sz w:val="24"/>
          <w:szCs w:val="24"/>
        </w:rPr>
        <w:t>54</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w:t>
      </w:r>
      <w:r w:rsidR="00655355">
        <w:rPr>
          <w:rFonts w:ascii="Times New Roman" w:hAnsi="Times New Roman" w:cs="Times New Roman"/>
          <w:sz w:val="24"/>
          <w:szCs w:val="24"/>
        </w:rPr>
        <w:t>4ч. зачет;</w:t>
      </w:r>
      <w:r w:rsidRPr="0046399B">
        <w:rPr>
          <w:rFonts w:ascii="Times New Roman" w:hAnsi="Times New Roman" w:cs="Times New Roman"/>
          <w:sz w:val="24"/>
          <w:szCs w:val="24"/>
        </w:rPr>
        <w:t xml:space="preserve"> формы контроля </w:t>
      </w:r>
      <w:r w:rsidR="00655355">
        <w:rPr>
          <w:rFonts w:ascii="Times New Roman" w:hAnsi="Times New Roman" w:cs="Times New Roman"/>
          <w:sz w:val="24"/>
          <w:szCs w:val="24"/>
        </w:rPr>
        <w:t>зачет.</w:t>
      </w: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115BB8" w:rsidRDefault="00115BB8"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3" w:type="dxa"/>
        <w:jc w:val="center"/>
        <w:tblBorders>
          <w:top w:val="single" w:sz="4" w:space="0" w:color="000000"/>
          <w:left w:val="single" w:sz="4" w:space="0" w:color="000000"/>
        </w:tblBorders>
        <w:tblLook w:val="0000" w:firstRow="0" w:lastRow="0" w:firstColumn="0" w:lastColumn="0" w:noHBand="0" w:noVBand="0"/>
      </w:tblPr>
      <w:tblGrid>
        <w:gridCol w:w="562"/>
        <w:gridCol w:w="1674"/>
        <w:gridCol w:w="581"/>
        <w:gridCol w:w="769"/>
        <w:gridCol w:w="1118"/>
        <w:gridCol w:w="674"/>
        <w:gridCol w:w="1199"/>
        <w:gridCol w:w="1926"/>
      </w:tblGrid>
      <w:tr w:rsidR="00353570" w:rsidRPr="00353570" w:rsidTr="00353570">
        <w:trPr>
          <w:trHeight w:val="1312"/>
          <w:jc w:val="center"/>
        </w:trPr>
        <w:tc>
          <w:tcPr>
            <w:tcW w:w="562" w:type="dxa"/>
            <w:vMerge w:val="restart"/>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w:t>
            </w:r>
          </w:p>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п/п</w:t>
            </w:r>
          </w:p>
        </w:tc>
        <w:tc>
          <w:tcPr>
            <w:tcW w:w="1674" w:type="dxa"/>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pacing w:before="660" w:after="66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Раздел дисциплины</w:t>
            </w:r>
          </w:p>
        </w:tc>
        <w:tc>
          <w:tcPr>
            <w:tcW w:w="581" w:type="dxa"/>
            <w:vMerge w:val="restart"/>
            <w:tcBorders>
              <w:top w:val="single" w:sz="4" w:space="0" w:color="000000"/>
              <w:left w:val="single" w:sz="4" w:space="0" w:color="000000"/>
            </w:tcBorders>
            <w:shd w:val="clear" w:color="auto" w:fill="D9D9D9" w:themeFill="background1" w:themeFillShade="D9"/>
            <w:textDirection w:val="btLr"/>
            <w:vAlign w:val="center"/>
          </w:tcPr>
          <w:p w:rsidR="00353570" w:rsidRPr="00353570" w:rsidRDefault="00353570" w:rsidP="00353570">
            <w:pPr>
              <w:tabs>
                <w:tab w:val="left" w:pos="708"/>
              </w:tabs>
              <w:spacing w:after="0" w:line="276" w:lineRule="auto"/>
              <w:jc w:val="center"/>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Семестр</w:t>
            </w:r>
          </w:p>
        </w:tc>
        <w:tc>
          <w:tcPr>
            <w:tcW w:w="3760" w:type="dxa"/>
            <w:gridSpan w:val="4"/>
            <w:tcBorders>
              <w:top w:val="single" w:sz="4" w:space="0" w:color="000000"/>
              <w:left w:val="single" w:sz="4" w:space="0" w:color="000000"/>
              <w:bottom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Виды учебной работы, включая самостоятельную работу студентов и трудоемкость (в часах)</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bCs/>
                <w:i/>
                <w:color w:val="000000"/>
                <w:sz w:val="24"/>
                <w:szCs w:val="24"/>
                <w:lang w:eastAsia="ru-RU"/>
              </w:rPr>
            </w:pPr>
            <w:r w:rsidRPr="00353570">
              <w:rPr>
                <w:rFonts w:ascii="Times New Roman" w:eastAsia="Times New Roman" w:hAnsi="Times New Roman" w:cs="Times New Roman"/>
                <w:bCs/>
                <w:color w:val="000000"/>
                <w:sz w:val="24"/>
                <w:szCs w:val="24"/>
                <w:lang w:eastAsia="ru-RU"/>
              </w:rPr>
              <w:t>Формы текущего контроля (в т.ч. рубежного, если предусмотрен в РПД) и промежуточной аттестации</w:t>
            </w:r>
            <w:r w:rsidRPr="00353570">
              <w:rPr>
                <w:rFonts w:ascii="Times New Roman" w:eastAsia="Times New Roman" w:hAnsi="Times New Roman" w:cs="Times New Roman"/>
                <w:bCs/>
                <w:color w:val="000000"/>
                <w:sz w:val="24"/>
                <w:szCs w:val="24"/>
                <w:vertAlign w:val="superscript"/>
                <w:lang w:eastAsia="ru-RU"/>
              </w:rPr>
              <w:t>3</w:t>
            </w:r>
            <w:r w:rsidRPr="00353570">
              <w:rPr>
                <w:rFonts w:ascii="Times New Roman" w:eastAsia="Times New Roman" w:hAnsi="Times New Roman" w:cs="Times New Roman"/>
                <w:bCs/>
                <w:color w:val="000000"/>
                <w:sz w:val="24"/>
                <w:szCs w:val="24"/>
                <w:lang w:eastAsia="ru-RU"/>
              </w:rPr>
              <w:t xml:space="preserve"> </w:t>
            </w:r>
          </w:p>
        </w:tc>
      </w:tr>
      <w:tr w:rsidR="00353570" w:rsidRPr="00353570" w:rsidTr="00353570">
        <w:trPr>
          <w:trHeight w:val="70"/>
          <w:jc w:val="center"/>
        </w:trPr>
        <w:tc>
          <w:tcPr>
            <w:tcW w:w="562" w:type="dxa"/>
            <w:vMerge/>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napToGrid w:val="0"/>
              <w:spacing w:after="0" w:line="276" w:lineRule="auto"/>
              <w:ind w:firstLine="22"/>
              <w:jc w:val="both"/>
              <w:rPr>
                <w:rFonts w:ascii="Times New Roman" w:eastAsia="Times New Roman" w:hAnsi="Times New Roman" w:cs="Times New Roman"/>
                <w:bCs/>
                <w:i/>
                <w:color w:val="000000"/>
                <w:sz w:val="24"/>
                <w:szCs w:val="24"/>
                <w:lang w:eastAsia="ru-RU"/>
              </w:rPr>
            </w:pPr>
          </w:p>
        </w:tc>
        <w:tc>
          <w:tcPr>
            <w:tcW w:w="1674" w:type="dxa"/>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581" w:type="dxa"/>
            <w:vMerge/>
            <w:tcBorders>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ind w:firstLine="709"/>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всего</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Семинар</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СРС</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tcBorders>
              <w:top w:val="single" w:sz="4" w:space="0" w:color="000000"/>
              <w:left w:val="single" w:sz="4" w:space="0" w:color="000000"/>
            </w:tcBorders>
            <w:shd w:val="clear" w:color="auto" w:fill="auto"/>
          </w:tcPr>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P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115BB8" w:rsidRPr="00353570" w:rsidTr="00115BB8">
        <w:trPr>
          <w:jc w:val="center"/>
        </w:trPr>
        <w:tc>
          <w:tcPr>
            <w:tcW w:w="562" w:type="dxa"/>
            <w:tcBorders>
              <w:top w:val="single" w:sz="4" w:space="0" w:color="000000"/>
              <w:left w:val="single" w:sz="4" w:space="0" w:color="000000"/>
              <w:bottom w:val="single" w:sz="4" w:space="0" w:color="000000"/>
            </w:tcBorders>
            <w:shd w:val="clear" w:color="auto" w:fill="BFBFBF" w:themeFill="background1" w:themeFillShade="BF"/>
          </w:tcPr>
          <w:p w:rsidR="00115BB8"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674" w:type="dxa"/>
            <w:tcBorders>
              <w:top w:val="single" w:sz="4" w:space="0" w:color="000000"/>
              <w:left w:val="single" w:sz="4" w:space="0" w:color="000000"/>
              <w:bottom w:val="single" w:sz="4" w:space="0" w:color="000000"/>
            </w:tcBorders>
            <w:shd w:val="clear" w:color="auto" w:fill="BFBFBF" w:themeFill="background1" w:themeFillShade="BF"/>
          </w:tcPr>
          <w:p w:rsidR="00115BB8" w:rsidRPr="00353570" w:rsidRDefault="00115BB8" w:rsidP="00353570">
            <w:pPr>
              <w:rPr>
                <w:rFonts w:ascii="Times New Roman" w:eastAsia="Times New Roman" w:hAnsi="Times New Roman" w:cs="Times New Roman"/>
                <w:color w:val="000000"/>
                <w:sz w:val="24"/>
                <w:szCs w:val="24"/>
                <w:lang w:eastAsia="ru-RU"/>
              </w:rPr>
            </w:pPr>
          </w:p>
        </w:tc>
        <w:tc>
          <w:tcPr>
            <w:tcW w:w="581" w:type="dxa"/>
            <w:tcBorders>
              <w:left w:val="single" w:sz="4" w:space="0" w:color="000000"/>
            </w:tcBorders>
            <w:shd w:val="clear" w:color="auto" w:fill="BFBFBF" w:themeFill="background1" w:themeFillShade="BF"/>
          </w:tcPr>
          <w:p w:rsidR="00115BB8" w:rsidRPr="00353570" w:rsidRDefault="00115BB8"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BFBFBF" w:themeFill="background1" w:themeFillShade="BF"/>
          </w:tcPr>
          <w:p w:rsidR="00115BB8"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BFBFBF" w:themeFill="background1" w:themeFillShade="BF"/>
          </w:tcPr>
          <w:p w:rsidR="00115BB8"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BFBFBF" w:themeFill="background1" w:themeFillShade="BF"/>
          </w:tcPr>
          <w:p w:rsidR="00115BB8" w:rsidRPr="00115BB8" w:rsidRDefault="00115BB8"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sidRPr="00115BB8">
              <w:rPr>
                <w:rFonts w:ascii="Times New Roman" w:eastAsia="Times New Roman" w:hAnsi="Times New Roman" w:cs="Times New Roman"/>
                <w:b/>
                <w:color w:val="000000"/>
                <w:sz w:val="24"/>
                <w:szCs w:val="24"/>
                <w:lang w:eastAsia="ru-RU"/>
              </w:rPr>
              <w:t>36</w:t>
            </w:r>
          </w:p>
        </w:tc>
        <w:tc>
          <w:tcPr>
            <w:tcW w:w="1199" w:type="dxa"/>
            <w:tcBorders>
              <w:top w:val="single" w:sz="4" w:space="0" w:color="000000"/>
              <w:left w:val="single" w:sz="4" w:space="0" w:color="000000"/>
              <w:bottom w:val="single" w:sz="4" w:space="0" w:color="000000"/>
            </w:tcBorders>
            <w:shd w:val="clear" w:color="auto" w:fill="BFBFBF" w:themeFill="background1" w:themeFillShade="BF"/>
          </w:tcPr>
          <w:p w:rsidR="00115BB8"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15BB8"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Практический (основной).</w:t>
            </w:r>
          </w:p>
        </w:tc>
        <w:tc>
          <w:tcPr>
            <w:tcW w:w="581" w:type="dxa"/>
            <w:tcBorders>
              <w:left w:val="single" w:sz="4" w:space="0" w:color="000000"/>
            </w:tcBorders>
            <w:shd w:val="clear" w:color="auto" w:fill="auto"/>
          </w:tcPr>
          <w:p w:rsidR="00353570" w:rsidRPr="00115BB8" w:rsidRDefault="00115BB8" w:rsidP="00115BB8">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115BB8"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 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6</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Аттестация</w:t>
            </w:r>
          </w:p>
        </w:tc>
        <w:tc>
          <w:tcPr>
            <w:tcW w:w="581" w:type="dxa"/>
            <w:tcBorders>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Зачет. Реферат на выбранную тему (Приложение1)</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1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Итого:</w:t>
            </w:r>
          </w:p>
        </w:tc>
        <w:tc>
          <w:tcPr>
            <w:tcW w:w="581"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72</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115BB8"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54</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3. Физическая культура и спорт в ВУЗе.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9. Социальные функции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обитания-часть1.</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 Организм человека как единая саморазвивающаяся и саморегулирующаяся биологическая система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сердечно-сосудистой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Представление о нервной системе. Её отделы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Основные средства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12. Показатели тренированности при предельно напряженной работе.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14.Вспомогательные средства физической культуры их влияние на организм и направления использования.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сердечно-сосудистую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обитания-часть2.</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Утомление и восстановление при физической и умственной работе.</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Определение физического развития и методы оценки.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практические занятия;</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rsidR="00060BA4" w:rsidRP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 Вид промежуточной аттестации –зачет.</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Форма проведения</w:t>
      </w:r>
      <w:r w:rsidRPr="00060BA4">
        <w:rPr>
          <w:rFonts w:ascii="Times New Roman" w:eastAsia="Times New Roman" w:hAnsi="Times New Roman" w:cs="Times New Roman"/>
          <w:color w:val="000000"/>
          <w:sz w:val="24"/>
          <w:szCs w:val="24"/>
          <w:lang w:eastAsia="ru-RU"/>
        </w:rPr>
        <w:t>-выполнение контрольных нормативов физических упражнений.</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(специальной медицинской группы) с ограниченными возможностями здоровья и инвалиды пишут рефераты на выбранные темы.</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9">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 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https://e.lanbook.com/book/106810</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 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https://e.lanbook.com/book/109462</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https://e.lanbook.com/book/149532</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5. 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https://e.lanbook.com/book/117581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https://e.lanbook.com/book/133353</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https://e.lanbook.com/book/109451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https://e.lanbook.com/book/158227</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https://e.lanbook.com/book/156420</w:t>
        </w:r>
      </w:hyperlink>
    </w:p>
    <w:p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https://e.lanbook.com/book/140343</w:t>
        </w:r>
      </w:hyperlink>
    </w:p>
    <w:p w:rsidR="00060BA4" w:rsidRDefault="00060BA4" w:rsidP="00060BA4">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19" w:history="1">
        <w:r w:rsidRPr="00060BA4">
          <w:rPr>
            <w:rFonts w:ascii="Times New Roman" w:eastAsia="Times New Roman" w:hAnsi="Times New Roman" w:cs="Times New Roman"/>
            <w:sz w:val="24"/>
            <w:szCs w:val="24"/>
            <w:u w:val="single"/>
            <w:lang w:eastAsia="ru-RU"/>
          </w:rPr>
          <w:t>https://antiplagiatu.net/oformlenie-referata</w:t>
        </w:r>
      </w:hyperlink>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xml:space="preserve"> Методические рекомендации к организации СРС.</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0" w:history="1">
        <w:r w:rsidRPr="00060BA4">
          <w:rPr>
            <w:rFonts w:ascii="Times New Roman" w:eastAsia="Times New Roman" w:hAnsi="Times New Roman" w:cs="Times New Roman"/>
            <w:color w:val="0563C1"/>
            <w:sz w:val="24"/>
            <w:szCs w:val="24"/>
            <w:u w:val="single"/>
            <w:lang w:eastAsia="ru-RU"/>
          </w:rPr>
          <w:t>https://elibrary.ru</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1"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2"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На рабочих местах используется операционная система Microsoft Windows, пакет Microsoft Office, а также другое специализированное программное обеспечение</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115BB8" w:rsidRPr="00115BB8" w:rsidRDefault="00115BB8" w:rsidP="00115BB8">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115BB8">
        <w:rPr>
          <w:rFonts w:ascii="Times New Roman" w:eastAsia="Times New Roman" w:hAnsi="Times New Roman" w:cs="Times New Roman"/>
          <w:sz w:val="24"/>
          <w:szCs w:val="24"/>
          <w:lang w:eastAsia="zh-CN"/>
        </w:rPr>
        <w:t>Направлени</w:t>
      </w:r>
      <w:r>
        <w:rPr>
          <w:rFonts w:ascii="Times New Roman" w:eastAsia="Times New Roman" w:hAnsi="Times New Roman" w:cs="Times New Roman"/>
          <w:sz w:val="24"/>
          <w:szCs w:val="24"/>
          <w:lang w:eastAsia="zh-CN"/>
        </w:rPr>
        <w:t>ю</w:t>
      </w:r>
      <w:r w:rsidRPr="00115BB8">
        <w:rPr>
          <w:rFonts w:ascii="Times New Roman" w:eastAsia="Times New Roman" w:hAnsi="Times New Roman" w:cs="Times New Roman"/>
          <w:sz w:val="24"/>
          <w:szCs w:val="24"/>
          <w:lang w:eastAsia="zh-CN"/>
        </w:rPr>
        <w:t xml:space="preserve"> подготовки 51.03.02 Народная художественная культура</w:t>
      </w:r>
    </w:p>
    <w:p w:rsidR="00115BB8" w:rsidRPr="00115BB8" w:rsidRDefault="00115BB8" w:rsidP="00115BB8">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115BB8">
        <w:rPr>
          <w:rFonts w:ascii="Times New Roman" w:eastAsia="Times New Roman" w:hAnsi="Times New Roman" w:cs="Times New Roman"/>
          <w:sz w:val="24"/>
          <w:szCs w:val="24"/>
          <w:lang w:eastAsia="zh-CN"/>
        </w:rPr>
        <w:t>Профиль подготовки Руководство любительским театром</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60BA4">
        <w:rPr>
          <w:rFonts w:ascii="Times New Roman" w:eastAsia="Times New Roman" w:hAnsi="Times New Roman" w:cs="Times New Roman"/>
          <w:sz w:val="24"/>
          <w:szCs w:val="24"/>
          <w:lang w:eastAsia="zh-CN"/>
        </w:rPr>
        <w:t xml:space="preserve"> </w:t>
      </w:r>
      <w:r w:rsidR="00060BA4" w:rsidRPr="00060BA4">
        <w:rPr>
          <w:rFonts w:ascii="Times New Roman" w:eastAsia="Times New Roman" w:hAnsi="Times New Roman" w:cs="Times New Roman"/>
          <w:sz w:val="24"/>
          <w:szCs w:val="24"/>
          <w:lang w:eastAsia="zh-CN"/>
        </w:rPr>
        <w:t>КПН, доцент, зав.кафедрой ФК и БЖД Каравацкая Н.А.</w:t>
      </w:r>
      <w:r w:rsidRPr="000B1B86">
        <w:rPr>
          <w:rFonts w:ascii="Times New Roman" w:eastAsia="Times New Roman" w:hAnsi="Times New Roman" w:cs="Times New Roman"/>
          <w:sz w:val="24"/>
          <w:szCs w:val="24"/>
        </w:rPr>
        <w:t xml:space="preserve"> </w:t>
      </w:r>
      <w:bookmarkStart w:id="1" w:name="_GoBack"/>
      <w:bookmarkEnd w:id="1"/>
    </w:p>
    <w:sectPr w:rsidR="000B1B86" w:rsidRPr="000B1B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D58" w:rsidRDefault="007F2D58">
      <w:pPr>
        <w:spacing w:after="0" w:line="240" w:lineRule="auto"/>
      </w:pPr>
      <w:r>
        <w:separator/>
      </w:r>
    </w:p>
  </w:endnote>
  <w:endnote w:type="continuationSeparator" w:id="0">
    <w:p w:rsidR="007F2D58" w:rsidRDefault="007F2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D58" w:rsidRDefault="007F2D58">
      <w:pPr>
        <w:spacing w:after="0" w:line="240" w:lineRule="auto"/>
      </w:pPr>
      <w:r>
        <w:separator/>
      </w:r>
    </w:p>
  </w:footnote>
  <w:footnote w:type="continuationSeparator" w:id="0">
    <w:p w:rsidR="007F2D58" w:rsidRDefault="007F2D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6"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7"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1"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2"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5"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9"/>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0"/>
  </w:num>
  <w:num w:numId="18">
    <w:abstractNumId w:val="2"/>
  </w:num>
  <w:num w:numId="19">
    <w:abstractNumId w:val="13"/>
  </w:num>
  <w:num w:numId="20">
    <w:abstractNumId w:val="17"/>
  </w:num>
  <w:num w:numId="21">
    <w:abstractNumId w:val="9"/>
  </w:num>
  <w:num w:numId="22">
    <w:abstractNumId w:val="27"/>
  </w:num>
  <w:num w:numId="23">
    <w:abstractNumId w:val="26"/>
  </w:num>
  <w:num w:numId="24">
    <w:abstractNumId w:val="7"/>
  </w:num>
  <w:num w:numId="25">
    <w:abstractNumId w:val="3"/>
  </w:num>
  <w:num w:numId="26">
    <w:abstractNumId w:val="16"/>
  </w:num>
  <w:num w:numId="27">
    <w:abstractNumId w:val="32"/>
  </w:num>
  <w:num w:numId="28">
    <w:abstractNumId w:val="20"/>
  </w:num>
  <w:num w:numId="29">
    <w:abstractNumId w:val="36"/>
  </w:num>
  <w:num w:numId="30">
    <w:abstractNumId w:val="34"/>
  </w:num>
  <w:num w:numId="31">
    <w:abstractNumId w:val="8"/>
  </w:num>
  <w:num w:numId="32">
    <w:abstractNumId w:val="1"/>
  </w:num>
  <w:num w:numId="33">
    <w:abstractNumId w:val="12"/>
  </w:num>
  <w:num w:numId="34">
    <w:abstractNumId w:val="30"/>
  </w:num>
  <w:num w:numId="35">
    <w:abstractNumId w:val="24"/>
  </w:num>
  <w:num w:numId="36">
    <w:abstractNumId w:val="6"/>
  </w:num>
  <w:num w:numId="37">
    <w:abstractNumId w:val="38"/>
  </w:num>
  <w:num w:numId="38">
    <w:abstractNumId w:val="35"/>
  </w:num>
  <w:num w:numId="39">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BA4"/>
    <w:rsid w:val="00060C49"/>
    <w:rsid w:val="00065874"/>
    <w:rsid w:val="00065E30"/>
    <w:rsid w:val="00081BBA"/>
    <w:rsid w:val="0008795D"/>
    <w:rsid w:val="000A4B40"/>
    <w:rsid w:val="000B1B86"/>
    <w:rsid w:val="000B2F39"/>
    <w:rsid w:val="000B5B75"/>
    <w:rsid w:val="000C5186"/>
    <w:rsid w:val="00115BB8"/>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65E"/>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55355"/>
    <w:rsid w:val="00662EEC"/>
    <w:rsid w:val="00664BEF"/>
    <w:rsid w:val="0067048B"/>
    <w:rsid w:val="0067074D"/>
    <w:rsid w:val="0067525A"/>
    <w:rsid w:val="00684384"/>
    <w:rsid w:val="00692AAF"/>
    <w:rsid w:val="00693C38"/>
    <w:rsid w:val="006B2253"/>
    <w:rsid w:val="006B36EE"/>
    <w:rsid w:val="006C26D3"/>
    <w:rsid w:val="006D040A"/>
    <w:rsid w:val="006D0418"/>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7F2D58"/>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A43D4"/>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1429"/>
    <w:rsid w:val="00E67C4C"/>
    <w:rsid w:val="00E73D65"/>
    <w:rsid w:val="00E8562D"/>
    <w:rsid w:val="00E95F00"/>
    <w:rsid w:val="00EA16C0"/>
    <w:rsid w:val="00EA5EA3"/>
    <w:rsid w:val="00EA622F"/>
    <w:rsid w:val="00EC2482"/>
    <w:rsid w:val="00ED1A5D"/>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d">
    <w:name w:val="Основной текст_"/>
    <w:link w:val="18"/>
    <w:locked/>
    <w:rsid w:val="00ED1A5D"/>
    <w:rPr>
      <w:rFonts w:ascii="Times New Roman" w:hAnsi="Times New Roman"/>
      <w:sz w:val="26"/>
      <w:szCs w:val="26"/>
      <w:shd w:val="clear" w:color="auto" w:fill="FFFFFF"/>
    </w:rPr>
  </w:style>
  <w:style w:type="paragraph" w:customStyle="1" w:styleId="18">
    <w:name w:val="Основной текст1"/>
    <w:basedOn w:val="a"/>
    <w:link w:val="affd"/>
    <w:rsid w:val="00ED1A5D"/>
    <w:pPr>
      <w:shd w:val="clear" w:color="auto" w:fill="FFFFFF"/>
      <w:spacing w:before="360" w:after="0" w:line="346" w:lineRule="exact"/>
      <w:ind w:firstLine="660"/>
      <w:jc w:val="both"/>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17581" TargetMode="External"/><Relationship Id="rId18" Type="http://schemas.openxmlformats.org/officeDocument/2006/relationships/hyperlink" Target="https://e.lanbook.com/book/140343" TargetMode="External"/><Relationship Id="rId3" Type="http://schemas.openxmlformats.org/officeDocument/2006/relationships/numbering" Target="numbering.xml"/><Relationship Id="rId21" Type="http://schemas.openxmlformats.org/officeDocument/2006/relationships/hyperlink" Target="https://e.lanbook.com/" TargetMode="External"/><Relationship Id="rId7" Type="http://schemas.openxmlformats.org/officeDocument/2006/relationships/footnotes" Target="footnotes.xml"/><Relationship Id="rId12" Type="http://schemas.openxmlformats.org/officeDocument/2006/relationships/hyperlink" Target="https://e.lanbook.com/book/149532" TargetMode="External"/><Relationship Id="rId17" Type="http://schemas.openxmlformats.org/officeDocument/2006/relationships/hyperlink" Target="https://e.lanbook.com/book/156420" TargetMode="External"/><Relationship Id="rId2" Type="http://schemas.openxmlformats.org/officeDocument/2006/relationships/customXml" Target="../customXml/item2.xml"/><Relationship Id="rId16" Type="http://schemas.openxmlformats.org/officeDocument/2006/relationships/hyperlink" Target="https://e.lanbook.com/book/158227" TargetMode="External"/><Relationship Id="rId20" Type="http://schemas.openxmlformats.org/officeDocument/2006/relationships/hyperlink" Target="https://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946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lanbook.com/book/109451" TargetMode="External"/><Relationship Id="rId23" Type="http://schemas.openxmlformats.org/officeDocument/2006/relationships/fontTable" Target="fontTable.xml"/><Relationship Id="rId10" Type="http://schemas.openxmlformats.org/officeDocument/2006/relationships/hyperlink" Target="https://e.lanbook.com/book/106810" TargetMode="External"/><Relationship Id="rId19" Type="http://schemas.openxmlformats.org/officeDocument/2006/relationships/hyperlink" Target="https://antiplagiatu.net/oformlenie-referata" TargetMode="External"/><Relationship Id="rId4" Type="http://schemas.openxmlformats.org/officeDocument/2006/relationships/styles" Target="styles.xml"/><Relationship Id="rId9" Type="http://schemas.openxmlformats.org/officeDocument/2006/relationships/hyperlink" Target="https://e.lanbook.com/book/120054" TargetMode="External"/><Relationship Id="rId14" Type="http://schemas.openxmlformats.org/officeDocument/2006/relationships/hyperlink" Target="https://e.lanbook.com/book/133353" TargetMode="External"/><Relationship Id="rId22" Type="http://schemas.openxmlformats.org/officeDocument/2006/relationships/hyperlink" Target="http://portal.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C2BD89C-33E2-4039-AF23-9B10C2AF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6800</Words>
  <Characters>38765</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6</cp:revision>
  <cp:lastPrinted>2021-12-28T11:32:00Z</cp:lastPrinted>
  <dcterms:created xsi:type="dcterms:W3CDTF">2022-02-02T11:56:00Z</dcterms:created>
  <dcterms:modified xsi:type="dcterms:W3CDTF">2022-09-07T09:25:00Z</dcterms:modified>
</cp:coreProperties>
</file>